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DA27" w14:textId="348521F4" w:rsidR="0091591F" w:rsidRPr="0091591F" w:rsidRDefault="0091591F" w:rsidP="0091591F">
      <w:pPr>
        <w:shd w:val="clear" w:color="auto" w:fill="FFFFFF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</w:pPr>
      <w:r w:rsidRPr="0091591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Cuivre</w:t>
      </w:r>
      <w:r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>,</w:t>
      </w:r>
      <w:r w:rsidRPr="0091591F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FR"/>
        </w:rPr>
        <w:t xml:space="preserve"> 2022 et 2023 seront des années d’excédent, selon ICSG</w:t>
      </w:r>
    </w:p>
    <w:p w14:paraId="1BF5A18A" w14:textId="77777777" w:rsidR="0091591F" w:rsidRDefault="0091591F" w:rsidP="009159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3E001F"/>
          <w:sz w:val="30"/>
          <w:szCs w:val="30"/>
          <w:lang w:eastAsia="fr-FR"/>
        </w:rPr>
      </w:pPr>
    </w:p>
    <w:p w14:paraId="4BA3C31E" w14:textId="4097D5E6" w:rsidR="0091591F" w:rsidRPr="0091591F" w:rsidRDefault="0091591F" w:rsidP="009159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159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Le marché mondial du cuivre devrait montrer des excédents de 142.000 tonnes en 2022 et de 352.000 tonnes en 2023, selon le groupe d’études ICSG (International Copper </w:t>
      </w:r>
      <w:proofErr w:type="spellStart"/>
      <w:r w:rsidRPr="009159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>Study</w:t>
      </w:r>
      <w:proofErr w:type="spellEnd"/>
      <w:r w:rsidRPr="0091591F">
        <w:rPr>
          <w:rFonts w:ascii="Lato" w:eastAsia="Times New Roman" w:hAnsi="Lato" w:cs="Times New Roman"/>
          <w:b/>
          <w:bCs/>
          <w:color w:val="000000"/>
          <w:sz w:val="23"/>
          <w:szCs w:val="23"/>
          <w:lang w:eastAsia="fr-FR"/>
        </w:rPr>
        <w:t xml:space="preserve"> Group).</w:t>
      </w:r>
    </w:p>
    <w:p w14:paraId="64813D39" w14:textId="77777777" w:rsidR="0091591F" w:rsidRPr="0091591F" w:rsidRDefault="0091591F" w:rsidP="009159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159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</w:t>
      </w:r>
    </w:p>
    <w:p w14:paraId="4D16A00E" w14:textId="77777777" w:rsidR="0091591F" w:rsidRPr="0091591F" w:rsidRDefault="0091591F" w:rsidP="009159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159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« </w:t>
      </w:r>
      <w:r w:rsidRPr="0091591F">
        <w:rPr>
          <w:rFonts w:ascii="Lato" w:eastAsia="Times New Roman" w:hAnsi="Lato" w:cs="Times New Roman"/>
          <w:i/>
          <w:iCs/>
          <w:color w:val="000000"/>
          <w:sz w:val="23"/>
          <w:szCs w:val="23"/>
          <w:lang w:eastAsia="fr-FR"/>
        </w:rPr>
        <w:t>La production minière est attendue en hausse cette année, avec l’arrivée sur le marché de nouvelles capacités provenant de mines existantes ou nouvellement ouvertes, et  l’amélioration du contexte lié à la pandémie</w:t>
      </w:r>
      <w:r w:rsidRPr="009159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 », explique le groupe d’études. La production minière est anticipée en hausse de 4,3% en 2022 et de 3,6% en 2023, principalement en raison de l’expansion de capacités en Chine et en République Démocratique du Congo (RDC).</w:t>
      </w:r>
    </w:p>
    <w:p w14:paraId="78070596" w14:textId="77777777" w:rsidR="0091591F" w:rsidRPr="0091591F" w:rsidRDefault="0091591F" w:rsidP="0091591F">
      <w:pPr>
        <w:shd w:val="clear" w:color="auto" w:fill="FFFFFF"/>
        <w:spacing w:before="75" w:after="75"/>
        <w:jc w:val="both"/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</w:pPr>
      <w:r w:rsidRPr="0091591F">
        <w:rPr>
          <w:rFonts w:ascii="Lato" w:eastAsia="Times New Roman" w:hAnsi="Lato" w:cs="Times New Roman"/>
          <w:color w:val="000000"/>
          <w:sz w:val="23"/>
          <w:szCs w:val="23"/>
          <w:lang w:eastAsia="fr-FR"/>
        </w:rPr>
        <w:t>La consommation apparente mondiale est annoncée en hausse de 1,9% en 2022 et de 2,8% en 2023. ICSG a revu à la baisse sa prévision de 2022 en raison du ralentissement économique, conséquence principalement de la guerre que la Russie mène en Ukraine, et aux effets négatifs de la pandémie de Covid-19 et des mesures de confinement en Chine.</w:t>
      </w:r>
    </w:p>
    <w:p w14:paraId="403E28FA" w14:textId="77777777" w:rsidR="000E1792" w:rsidRDefault="000E1792"/>
    <w:sectPr w:rsidR="000E1792" w:rsidSect="000F15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1F"/>
    <w:rsid w:val="000E1792"/>
    <w:rsid w:val="000F156F"/>
    <w:rsid w:val="009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F662E"/>
  <w15:chartTrackingRefBased/>
  <w15:docId w15:val="{C56FA9DF-63DA-A04C-B45F-B2086B6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59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159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9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159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nfoarticle">
    <w:name w:val="info_article"/>
    <w:basedOn w:val="Normal"/>
    <w:rsid w:val="009159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59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59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1591F"/>
    <w:rPr>
      <w:b/>
      <w:bCs/>
    </w:rPr>
  </w:style>
  <w:style w:type="character" w:styleId="Accentuation">
    <w:name w:val="Emphasis"/>
    <w:basedOn w:val="Policepardfaut"/>
    <w:uiPriority w:val="20"/>
    <w:qFormat/>
    <w:rsid w:val="00915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2022-05-10T07:43:00Z</dcterms:created>
  <dcterms:modified xsi:type="dcterms:W3CDTF">2022-05-10T07:44:00Z</dcterms:modified>
</cp:coreProperties>
</file>